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587C" w14:textId="77777777" w:rsidR="00E66622" w:rsidRPr="00E66622" w:rsidRDefault="005A15A7" w:rsidP="00DB2917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Export pripomienok za organizáciu </w:t>
      </w:r>
      <w:r w:rsidR="00984DBA">
        <w:rPr>
          <w:rFonts w:ascii="Times New Roman" w:eastAsia="Times New Roman" w:hAnsi="Times New Roman" w:cs="Times New Roman"/>
          <w:b/>
          <w:sz w:val="28"/>
          <w:lang w:val="en-US"/>
        </w:rPr>
        <w:t>Komora opatrovateliek Slovenska</w:t>
      </w:r>
      <w:r w:rsidRPr="00E66622">
        <w:rPr>
          <w:rFonts w:ascii="Times New Roman" w:eastAsia="Times New Roman" w:hAnsi="Times New Roman" w:cs="Times New Roman"/>
          <w:b/>
          <w:sz w:val="28"/>
        </w:rPr>
        <w:br/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Národná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stratégia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stabilizácie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a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riadenia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ľudských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zdrojov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v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zdravotníctve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do </w:t>
      </w:r>
      <w:proofErr w:type="spellStart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roku</w:t>
      </w:r>
      <w:proofErr w:type="spellEnd"/>
      <w:r w:rsidR="00096A09" w:rsidRPr="000E3B8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2040</w:t>
      </w:r>
      <w:r w:rsidR="00917A99">
        <w:rPr>
          <w:rFonts w:ascii="Times New Roman" w:eastAsia="Times New Roman" w:hAnsi="Times New Roman" w:cs="Times New Roman"/>
          <w:b/>
          <w:sz w:val="28"/>
        </w:rPr>
        <w:br/>
      </w:r>
      <w:r w:rsidR="003F1216">
        <w:rPr>
          <w:rFonts w:ascii="Times New Roman" w:eastAsia="Times New Roman" w:hAnsi="Times New Roman" w:cs="Times New Roman"/>
          <w:bCs/>
          <w:sz w:val="24"/>
          <w:szCs w:val="24"/>
        </w:rPr>
        <w:t>LP/2025/677</w:t>
      </w:r>
    </w:p>
    <w:p w14:paraId="38C53E93" w14:textId="77777777" w:rsidR="00DB2917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Vysvetlivky k použitým skratkám v tabuľke: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br/>
        <w:t>O – obyčajná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br/>
        <w:t>Z – zásadná</w:t>
      </w:r>
    </w:p>
    <w:p w14:paraId="01FE69B8" w14:textId="77777777" w:rsidR="00F0653F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1F777F" w:rsidRPr="00CB41DE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et vznesených pripomienok, z toho zásadných: </w:t>
      </w:r>
      <w:r w:rsidRPr="0053699B">
        <w:rPr>
          <w:rFonts w:ascii="Times New Roman" w:eastAsia="Times New Roman" w:hAnsi="Times New Roman" w:cs="Times New Roman"/>
          <w:sz w:val="18"/>
          <w:szCs w:val="18"/>
        </w:rPr>
        <w:tab/>
      </w:r>
      <w:r w:rsidR="00A36692" w:rsidRPr="00CB41D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E3CEC" w:rsidRPr="00CB41DE">
        <w:rPr>
          <w:rFonts w:ascii="Times New Roman" w:eastAsia="Times New Roman" w:hAnsi="Times New Roman" w:cs="Times New Roman"/>
          <w:sz w:val="24"/>
          <w:szCs w:val="24"/>
        </w:rPr>
        <w:t>/0</w:t>
      </w:r>
    </w:p>
    <w:p w14:paraId="182A62EE" w14:textId="77777777" w:rsidR="00E66622" w:rsidRPr="00DB2917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1F777F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et vznesených hromadných pripomienok: 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ab/>
      </w:r>
      <w:r w:rsidR="00335FFB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D2208F3" w14:textId="77777777" w:rsidR="007C1A93" w:rsidRPr="00E66622" w:rsidRDefault="00E66622">
      <w:pPr>
        <w:rPr>
          <w:rFonts w:ascii="Times New Roman" w:eastAsia="Times New Roman" w:hAnsi="Times New Roman" w:cs="Times New Roman"/>
          <w:sz w:val="20"/>
        </w:rPr>
      </w:pPr>
      <w:r w:rsidRPr="00E66622">
        <w:rPr>
          <w:rFonts w:ascii="Times New Roman" w:eastAsia="Times New Roman" w:hAnsi="Times New Roman" w:cs="Times New Roman"/>
          <w:sz w:val="20"/>
        </w:rPr>
        <w:br/>
      </w:r>
      <w:r w:rsidRPr="00E66622">
        <w:rPr>
          <w:rFonts w:ascii="Times New Roman" w:eastAsia="Times New Roman" w:hAnsi="Times New Roman" w:cs="Times New Roman"/>
          <w:sz w:val="24"/>
          <w:szCs w:val="24"/>
        </w:rPr>
        <w:t>Vznesené pripomienky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10639"/>
        <w:gridCol w:w="1190"/>
      </w:tblGrid>
      <w:tr w:rsidR="00053B53" w14:paraId="6EF470A5" w14:textId="77777777" w:rsidTr="00E57D51">
        <w:trPr>
          <w:trHeight w:val="648"/>
          <w:jc w:val="center"/>
        </w:trPr>
        <w:tc>
          <w:tcPr>
            <w:tcW w:w="250" w:type="pct"/>
            <w:vAlign w:val="center"/>
          </w:tcPr>
          <w:p w14:paraId="0DBE1D82" w14:textId="77777777" w:rsidR="00053B53" w:rsidRPr="00E11D16" w:rsidRDefault="00053B53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2316" w:type="pct"/>
            <w:vAlign w:val="center"/>
          </w:tcPr>
          <w:p w14:paraId="517EC5CA" w14:textId="77777777" w:rsidR="00053B53" w:rsidRPr="00E11D16" w:rsidRDefault="00053B53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250" w:type="pct"/>
            <w:vAlign w:val="center"/>
          </w:tcPr>
          <w:p w14:paraId="0776ADC1" w14:textId="77777777" w:rsidR="00053B53" w:rsidRPr="00053B53" w:rsidRDefault="00053B53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Odoslan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</w:t>
            </w:r>
          </w:p>
        </w:tc>
      </w:tr>
      <w:tr w:rsidR="004029C7" w14:paraId="5A3655DC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3292583D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334FDE06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Kapitola 4 – Implementačný plán, najmä časť 4.1 (krátkodobé opatrenia), časť 4.2 (strednodobé opatrenia) a časť týkajúca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Kap. 4 - 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Návrh úpravy / doplnenia: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1. Doplniť záväzok MZ SR pripraviť metodiku a legislatívny rámec na zavedenie povinnosti: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„Poskytovateľ zdravotnej starostlivosti a poskytovateľ sociálnych služieb, ktorý zamestnáva zdravotníckych pracovníkov, je povinný: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• pravidelne (minimálne raz ročne) realizovať meranie spokojnosti zamestnancov,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• systematicky zbierať podnety a návrhy na zlepšenie pracovných podmienok,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• analyzovať príčiny ukončenia pracovného pomeru zdravotníckych pracovníkov,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• prijímať a hodnotiť opatrenia na základe týchto zistení.“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2. Odbor pre stabilizáciu a riadenie ľudských zdrojov v zdravotníctve (OSZ):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„OSZ zabezpečí metodickú podporu, súhrnnú analýzu výsledkov a bude pravidelne vyhodnocovať trendy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spokojnosti a dôvody odchodu zdravotníkov na národnej úrovni.“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stratégii sú identifikované problémy súvisiace s fluktuáciou a odchodom zdravotníkov, no absentuje systémové zavedenie merania spokojnosti a analýzy dôvodov odchodu ako povinnej súčasti riadenia ľudských zdrojov. V predchádzajúcej stratégii "Návrh komplexnej stratégie, vrátane definovania strategických úloh participantov novej platformy pre uplatňovanie stratégie stabilizácie slovenských sestier (2023)" stabilizácie sestier bol PDCA cyklus (plánovanie – realizácia – kontrola – zlepšovanie) a pravidelné meranie spokojnosti jadrom celého konceptu.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 pohľadu poskytovateľov sociálnych služieb je meranie spokojnosti zdravotníckych pracovníkov kľúčovým nástrojom predchádzania destabilizácii tímov a zhoršeniu kvality starostlivosti, preto je vhodné, aby táto povinnosť platila jednotne pre zdravotnícke zariadenia aj zariadenia sociálnych služieb.</w:t>
            </w:r>
          </w:p>
        </w:tc>
        <w:tc>
          <w:tcPr>
            <w:tcW w:w="0" w:type="auto"/>
            <w:vAlign w:val="center"/>
          </w:tcPr>
          <w:p w14:paraId="1A05590F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1A94BCB1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7188C8B6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2788EE9F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 časti: Kapitola 1 – Definícia a analýza problému (dopĺňaný nový pododdiel); Kapitola 2 – Vízia; Kapitola 3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strategic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Návrh úpravy / doplnenia: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1. V analytickej časti doplniť osobitný pododdiel: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„Potreby zdravotníckych pracovníkov v zariadeniach sociálnych služieb a v dlhodobej starostlivosti“ – s kvantifikáciou počtu sestier a ďalších zdravotníckych profesií pôsobiacich v zariadeniach sociálnych služieb a s prognózou ich potreby do roku 2040.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2. V časti strategických cieľov doplniť, že: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„Stratégia sa vzťahuje na všetkých zdravotníckych pracovníkov bez ohľadu na to, či vykonávajú povolanie v zdravotníckych zariadeniach alebo v zariadeniach sociálnych služieb, ktoré poskytujú zdravotnú a ošetrovateľskú starostlivosť.“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3. V implementačnom pláne doplniť: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„Pri plánovaní kapacít a opatrení je potrebné osobitne zohľadniť rastúci dopyt po ošetrovateľskej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rehabilitačnej starostlivosti v zariadeniach sociálnych služieb a v následnej a komunitnej starostlivosti (vrátane ADOS), keďže tieto segmenty preberajú časť záťaže po skracovaní hospitalizácií v akútnych nemocniciach.“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Napriek tomu, že Stratégia sa formálne týka zdravotníctva, významná časť zdravotníckych pracovníkov – najmä sestier – pôsobí v zariadeniach sociálnych služieb. Tieto zariadenia poskytujú zdravotnú a ošetrovateľskú starostlivosť klientom s vysokou mierou odkázanosti.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Je nevyhnutné zdôrazniť, že bez zapojenia a zohľadnenia sektora sociálnych služieb nie je možné realisticky plánovať potreby ľudských zdrojov v zdravotníctve do roku 2040.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Zaradenie sociálnych služieb do analytickej aj implementačnej časti prispeje k tomu, aby sa neprehliadali reálne potreby sestier a iných zdravotníckych pracovníkov v dlhodobej a komunitnej starostlivosti.</w:t>
            </w:r>
          </w:p>
        </w:tc>
        <w:tc>
          <w:tcPr>
            <w:tcW w:w="0" w:type="auto"/>
            <w:vAlign w:val="center"/>
          </w:tcPr>
          <w:p w14:paraId="4B371105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272831C8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57179DE7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40118B52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POŽIADAVKA 1: Doplniť do materiálu jasne definovaný KONCEPT INTEGROVANEJ DLHODOBEJ STAROSTLIVOSTI (LTC), ktorý bude zahŕňať domácu starostlivosť, a bude vychádzať z Európskeho piliera sociálnych práv (Princíp 18), Dohovoru OSN o právach osôb so zdravotným postihnutím (čl. 19 a 28) a Plánu obnovy a odolnosti SR (komponenty 11, 12, 13).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Materiál nerieši kľúčovú časť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zdravotno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–sociálneho systému, ktorá je nevyhnutná pre udržateľnosť zdravotníctva do roku 2040. Európska legislatíva aj národné strategické dokumenty vyžadujú prechod k integrovanej a komunitnej starostlivosti. Bez explicitného zakotvenia dlhodobej starostlivosti (LTC) materiál nespĺňa medzinárodné záväzky SR a ohrozuje implementáciu Plánu obnovy.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Zakotvením chápeme zosúladenie terminológie LTC so sociálnym systémom, vypracovanie zákona o LTC a vytvorenie osobitného typu dlhodobej zdravotnej starostlivosti na účely plánovania výdavkov zdravotných poisťovní, ktoré budú zohľadňovať výdavky na zdravotníckych pracovníkov v zariadeniach sociálnych služieb a ADOS a nezdravotníckych pracovníkov vykonávajúcich výkony súvisiace s poskytovaním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komplexnej zdravotnej starostlivosti v zdravotníckych aj sociálnych zariadeniach a domácnostiach.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POŽIADAVKA 2: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Navrhujeme explicitne definovať v stratégii kategórie LTC pracovníkov a ich kompetencie: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(i) kvalifikovaní/certifikovaní/špecializovaní  zdravotnícki pracovníci poskytujúci LTC v zdravotníckych a sociálnych zariadeniach;                                                              (ii) komunitný personál (ADOS,  mobilné hospice, pracovníci v dlhodobej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., fyzioterapeuti, psychológ, terénni opatrovatelia)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(iii) podporný personál v zariadeniach (sociálni pracovníci, pedagogickí pracovníci a terapeuti),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(iv) neformálni opatrovatelia ktorí poskytujú osobnú a ošetrovateľskú starostlivosť príbuznému v domácnosti                                                              Zriadiť povinný register/hlásenia (kompatibilné s dátovými štruktúrami NCZI + SHA kategóriami).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Tým sa odstránia šedé zóny medzi zdravotnou a sociálnou starostlivosťou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POŽIADAVKA  2: Doplniť návrh legislatívneho kroku na VYTVORENIE INTEGROVANÉHO MODELU FINANCOVANIA LTC  medzi zákonmi 448/2008, 577/2004, 580/2004 a 578/2004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spol.s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MPSVR SR.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Absencia jednotného financovania spôsobuje neprehľadnosť, duplicity a presúvanie pacientov medzi rezortmi. Tento stav je v rozpore s odporúčaniami OECD, WHO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Europe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aj EK. Integrovaný model financovania je podmienkou udržateľnosti LTC do roku 2040.</w:t>
            </w:r>
          </w:p>
        </w:tc>
        <w:tc>
          <w:tcPr>
            <w:tcW w:w="0" w:type="auto"/>
            <w:vAlign w:val="center"/>
          </w:tcPr>
          <w:p w14:paraId="7C1AB1E9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73F6B15F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4C0A7C21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4948D9DA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 Potenciálne nástroje na riešenie nedostatku ľudských zdrojov a zvyšovania ich kvality v zdravotníctve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ZÁSADNÁ PRIPOMIENKA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Strední a nižší zdravotnícky pracovníci sú súčasťou tímu.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NAVRHUJEME "Pracovníka v dlhodobej starostlivosti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)" ZAHRNÚŤ DO ĽUDSKÝCH ZDROJOV V ZDRAVOTNEJ LTC.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Požadujeme doplniť kategóriu "Pracovník v dlhodobej starostlivosti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)" medzi pomocné zdravotnícke profesie, ktorých stabilizácia a rozvoj sú predmetom stratégie.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Rozšíriť vzdelávanie na SZŠ o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" ako vyššiu úroveň vzdelania a príležitosť profesionálneho rastu pre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sanitárov a opatrovateľov s 220h kurzom opatrovania a ukončeným úplným SŠ vzdelaním v ZSS.  Stali by sa tak univerzálnym zdravotno-sociálnym pracovníkom s rozšírenými 36 kompetenciami v súčasnosti vykonávanými praktickou sestrou a sanitárom.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Zároveň navrhujeme rozšíriť vzdelávanie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" na SZŠ o moduly detskej, komunitnej, geriatrickej a paliatívnej a psychiatrickej starostlivosti, aby boli primerane odborne kompetentní pomáhať/asistovať praktickým sestrám, sestrám ADOS a rodinám, v CDR a pod.;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NEODPORÚČAME ROZŠIROVANIE PERSONÁLNYCH KAPACÍT V ZDRAV.ZARIADENIACH NEZDRAVOTNÍCKYMI ZAMESTNANCAMI.  Je to v rozpore s Dohovorom  o právach OZP, EPSP aj Ústavou SR.  Zároveň to znevýhodní poskytovateľov sociálnych služieb.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Stratégia venuje pozornosť vzdelávaniu zdravotníckych povolaní, ale neobsahuje opatrenia na systematické vzdelávanie a certifikáciu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ktorý by podľa našich informácií z MPSVR SR, nebude zdravotníckym pracovníkom ale pracovníkom  v sociálnych službách. Napriek tomu, že má mať rozšírenú náplň práce o 36 výkonov súvisiacich s poskytovaním ošetrovateľskej/zdravotnej starostlivosti. Máme za to, že ponechaním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ako pracovníka v sociálnych službách nezvýši záujem mladých ľudí o štúdium v tomto odbore. Dôkazom je nezáujem o štúdium na SOŠ v odbore opatrovateľ detí, opatrovateľ seniorov alebo v teréne(SK ISCO-08, NACE 87.3).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MZ SR neakceptovaním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ako zdravotníckeho pracovníka ale zároveň úvahami o integrácii nezdravotníckych pracovníkov ( ako formálnej výpomoci na odľahčenie zdravotníckych pracovníkov v zdravotníckych zariadeniach (v konkrétnom strategickom opatrení č. 11) vytvára riziko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deprofesionalizácie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starostlivosti a vedome znižuje kvalitu a bezpečnosť starostlivosti nielen pre pacientov, ale aj pracovného prostredia pre zamestnancov.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Je to v rozpore s Dohovorom, EPSP aj Ústavou SR. Podľa čl. 25 Dohovoru o právach osôb so ZP má Slovensko povinnosť zabezpečiť bezpečnú a kvalitnú zdravotnú starostlivosť. Zaradenie pomocného personálu bez kompetenčných limitov môže poškodiť pacienta a je v rozpore aj s princípom kvality starostlivosti v EPSP.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KOS navrhla vytvorenie nového vzdelávacieho odboru PRACOVNÍK V DLHODOBEJ STAROSTLIVOSTI z dôvodu - zvyšovania počtu klientov odkázaných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oše.star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v sociálnych zariadeniach aj domácej starostlivosti, - zvyšovania náročnosti na výkon práce pre opatrovateľov a nevyhnutnosti získať nové kompetencie medzi nimi aj preberať výkon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oše.činností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na základe poverenia sestrou. Sestra v zmysle zákona nemôže poverovať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výkon nezdravotníckeho pracovníka. Vytvorenie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má umožniť logicky prepojiť sociálny aj zdravotný sektor v zmysle ich integrácie a v záujme zlepšenia prechodu pacienta/klienta z inštitucionálnej do komunitnej starostlivosti.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Štúdium by malo trvať najmenej 1 rok, max.2 roky na SZŠ, nie 400h, ako navrhuje MPSVR SR. Toto povolanie by malo mať povinnosť registrovať sa v Komore medicínsko-technických pracovníkov. Tento pracovník musí mať legálny status, ktorý by ho oprávňoval legálne preberať poverenia na výkon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činností v zariadení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soc.služieb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alebo v domácnosti od sestry(zodpovednej osoby) a vykonávať zápis do zdravotnej dokumentácie, byť účastný pri lekárskom vyšetrení klienta/pacienta a pod. v súlade so zákonom; Zároveň  to zvýši atraktivitu povolania pre dnešných sanitárov aj opatrovateľky, zlepší to prepojenie a kvalitu zdravotno-sociálnej starostlivosti, uľahčí to spoluprácu v multidisciplinárnom tíme.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Sektor domácej a komunitnej starostlivosti je podľa údajov OECD personálne najpoddimenzovanejší. Bez zaradenia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opatrovateľov vykonávajúcich "5 ošetrovateľských" úkonov v zar.soc.sl. na základe poverenia zodpovednou osobou do systému plánovania ľudských zdrojov aj v zdravotníctve nie je možné naplniť ciele LTC, komponent 13 Plánu obnovy ani Princíp 18 Európskeho piliera sociálnych práv. Materiál tak nezohľadňuje polovicu reálne poskytovanej dlhodobej starostlivosti.</w:t>
            </w:r>
          </w:p>
        </w:tc>
        <w:tc>
          <w:tcPr>
            <w:tcW w:w="0" w:type="auto"/>
            <w:vAlign w:val="center"/>
          </w:tcPr>
          <w:p w14:paraId="0ADA4E33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7DE70A02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59FF8837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0" w:type="auto"/>
          </w:tcPr>
          <w:p w14:paraId="3B1985D0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Podpora rozvoja domácej a komunitnej LTC (prechod z inštitucionálnej starostlivosti)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Navrhujeme doplniť do materiálu jasne definovaný koncept komunitnej a domácej starostlivosti a zadefinovať jej zložky( ADOS, mobilné hospice, terénna opatrovateľská služba, osobná a ošetrovateľská starostlivosť v zariadeniach sociálnych služieb a domácnosti, fyzioterapeuti, psychológ a pod. Všetci sú pracovnou silou, ktorú dokument neadresuje.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Súvisí to so zabezpečením rovnomernej dostupnosti zdravotnej a komunitnej starostlivosti aj v odľahlejších regiónoch a prepojenie formálnej starostlivosti s neformálnou v domácnosti k čomu sa SR zaviazala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viacerými dokumentmi.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Materiál by mal zohľadniť potrebu ľudských zdrojov pre vybudovanie strategicky rozmiestnenej minimálnej siete ADOS v súlade s integrovaným záchranným systémom, financovanú zo zdrojov zdravotného poistenia všetkých zdravotných poisťovní všade rovnako.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Potrebujeme viac sestier v ADOS a zvýšenie limitu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zdrav.poisťovní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na dostupnú bezplatnú domácu ošetrovateľskú aj profesionálnu opatrovateľskú starostlivosť.  Zlepšiť spoluprácu s terénnymi opatrovateľskými službami a neformálnymi opatrovateľmi, čo pomôže znížiť úrazovosť v domácnostiach, aj počet hospitalizácií.  Ročne máme najmenej 20 tis. hospitalizovaných seniorov 65+ po úraze, z toho 50% mali úraz doma(NCZI). Stojí to najmenej 60 miliónov €.   Požadujeme dostupnejšiu zdravotnú starostlivosť v domácnostiach, aj ZSS bez úhrady a doplatkov.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Stratégia by mala preferovať rozvoj a rozširovanie dostupnosti domácej/komunitnej starostlivosti tam, kde je to efektívne a želané pacientom, a plánovať adekvátne personálne zdravotno-sociálne kapacity, vrátane financovania doplnkových služieb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telemonitoring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teleošetrovateľstvo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pomôcky na zníženie fyzickej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záťaze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...) s cieľom odľahčiť ústavnú a ambulantnú starostlivosť. Nie ju vylúčiť.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Ageing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Report(1) ukazuje, že politiky podporujúce domáce riešenia môžu znížiť tlak na inštitúcie, ale presun zvyšuje potrebu pracovnej sily v komunite — treba to projektovať a financovať.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Economy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Finance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(1) https://economy-finance.ec.europa.eu/system/files/2020-11/ip142_en.pdf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Opierame sa aj o Odporúčanie Rady Európskej únie – „Prístup k cenovo dostupnej, vysokokvalitnej dlhodobej starostlivosti“ (December 2022), Európska stratégia v oblasti starostlivosti / záväzky v Rade, Európsky pilier sociálnych práv; Plán obnovy a odolnosti - Komponenty 11,12,13   a   Analýzu komponentov 11 a12 https://www.snslp.sk/wp-content/uploads/Analyza-komponentov-11-12-planu-obnovy.pdf</w:t>
            </w:r>
          </w:p>
        </w:tc>
        <w:tc>
          <w:tcPr>
            <w:tcW w:w="0" w:type="auto"/>
            <w:vAlign w:val="center"/>
          </w:tcPr>
          <w:p w14:paraId="5D2F629D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5FC1301C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2377DAED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481674AA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Všeobecné opatrenia do roku 2027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Požiadavka: Doplniť stabilizačné opatrenia pre všetkých zamestnancov v integrovanej sociálno-zdravotnej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dlhodobej starostlivosti  (ADOS, mobilné hospice +  opatrovatelia vykonávajúci úkony súvisiace so zdravotnou starostlivosťou v zariadeniach sociálnych služieb a domácnostiach na základe poverenia zodpovednou osobou,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PvLTC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opatrovatelia), vrátane: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– minimálnych mzdových štandardov,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– zvýšenia financovania výkonov domácej ošetrovateľskej starostlivosti,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– podpory vzdelávania a kompetencií v SKKR,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– garancie bezpečných pracovných podmienok.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Bez stabilizácie personálu v teréne nebude možné udržať systém domácej starostlivosti, čo neguje záväzky SR v oblasti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deinštitucionalizácie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zvyšuje tlak na ústavné kapacity. Materiál sa zameriava len na zamestnancov nemocníc a ambulancií, čím prehliada najkritickejší segment.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________________________________________</w:t>
            </w:r>
          </w:p>
        </w:tc>
        <w:tc>
          <w:tcPr>
            <w:tcW w:w="0" w:type="auto"/>
            <w:vAlign w:val="center"/>
          </w:tcPr>
          <w:p w14:paraId="20866AF0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1128DE77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115F817C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17F72753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Vízia a riešenie základných strategických problémov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Doplniť potrebu digitalizácie služieb LTC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telemedicína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elektronická dokumentácia a prepojenie ADOS a terénnych opatrovateľských služieb a poskytovateľov ošetrovateľskej starostlivosti v sociálnych službách.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Digitalizácia je povinným komponentom POO (komp. 11 a 12). Prepojenie ADOS na ostatných členov tímu, kt. sa spolupodieľajú na poskytovaní zdravotnej starostlivosti  v domácnosti, alebo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 znižuje administratívnu záťaž, uľahčuje a zrýchľuje dostupnosť odborných konzultácií a práce na diaľku, je podporným nástrojom pre opatrujúce osoby .</w:t>
            </w:r>
          </w:p>
        </w:tc>
        <w:tc>
          <w:tcPr>
            <w:tcW w:w="0" w:type="auto"/>
            <w:vAlign w:val="center"/>
          </w:tcPr>
          <w:p w14:paraId="7FAC543F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áno</w:t>
            </w:r>
          </w:p>
        </w:tc>
      </w:tr>
      <w:tr w:rsidR="004029C7" w14:paraId="254EE63E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67EB2C28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4409EBD3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3.1 Žiadúce zvýšenie záujmu o štúdium v zdravotníctve a návrhy na jeho dosiahnutie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ZÁSADNÁ PRIPOMIENKA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Navrhujeme Rozšírenie siete študijných odborov stredných zdravotníckych škôl v SR o študijný odbor Detská praktická sestra.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Platforma rodín detí 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zdrav.znevýhodnením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dlhodobo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undikuje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problém rodičov so získaním odbornej pomoci v domácej starostlivosti podľa špecifík zdravotného znevýhodnenia detí. Zrušením prípravy detských sestier sa vytvoril deficit v kvalifikovanej odbornej sile v pediatrii, ktorá by dopĺňala a odľahčovala sestry so špecializáciou v pediatrii.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MPSVR pripravuje indikatívny rámec vzdelávania opatrovateľov detí so zdravotným znevýhodnením, čo bude niekoľko 100h kurz pre opatrovateľa, ktorý by mohol potenciálne spolupracovať s detskou praktickou sestrou na tých najnižších úrovniach, ale v žiadnom prípade nemôže byť spoľahlivou náhradou detskej sestry.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Detský vek má svoje špecifiká. V zdravotníctve však chýba medzistupeň medzi sestrou so špecializáciou v pediatrii a opatrovateľkou pre detí so zdrav. znevýhodnením. Návrat k odboru detská praktická sestra má opodstatnenie. Pomôže to v školských a predškolských zariadeniach, jasliach, centrách pre deti a rodinu a zariadeniach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SPODaSK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</w:p>
        </w:tc>
        <w:tc>
          <w:tcPr>
            <w:tcW w:w="0" w:type="auto"/>
            <w:vAlign w:val="center"/>
          </w:tcPr>
          <w:p w14:paraId="4BA8C9B4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530FE5DE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5EE3A8EC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5ED43BC0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3.4 Návrh odporúčaní na riešenie nedostatku ľudských zdrojov v zdravotníctve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Navrhujeme prijať opatrenie v oblasti Vekového manažmentu - umožniť povolaniam v priamej starostlivosti o pacienta/klienta skorší (nie predčasný) odchod do dôchodku z dôvodu prevencie a ochrany zdravia,  predĺženia veku dožitia v zdraví a uľahčenia generačnej výmeny, zvlášť ak zamestnancovi vzniknú opatrovateľské povinnosti o príbuzného. Podporí to tiež prirodzenú domácu starostlivosť.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Sestry/opatrovatelia by mali mať možnosť odísť do skoršieho (nie predčasného) dôchodku a mať príležitosť pracovať, už nie na plný úväzok, ale ako zástup,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mentorky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ako "plávajúca" pomocná odborná pracovná sila, ambulantná sestra, sestry v ADOS, vedúce ošetrovateľských a opatrovateľských úsekov v ZSS, alebo ako neformálni opatrovatelia príbuzných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poradcovia.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Jedným z dôvodov pre skorší odchod do dôchodku je skracovanie veku dožitia v zdraví a zhoršujúce sa zdravie žien v týchto profesiách. Práca s ľudským bremenom násobne prekračujúcim minimálnu hmotnostnú záťaž, nedostatok zamestnancov a zvýšené tempo práce,  zvýšené riziko poškodenia chrbtice  a vlastné rodinné opatrovateľské povinnosti, ktoré je ťažké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vybalancovať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zvyšujú fyzickú a psychickú záťaž a ohrozujú zdravie zamestnanca, ktorý tým stráca schopnosť poskytnúť kvalitnú starostlivosť inému.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Práca by mala byť v istom veku voľbou a možnosť odchodu do dôchodku benefitom pre pracovníka v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pomáhajúcej profesii, bez trestania krátením dôchodku, ako je tomu dnes.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Pracovník by mal byť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mentoring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odovzdávanie know-how odmeňovaný, buď možnosťou pracovať na čiastočný úväzok, alebo dohodu popri dôchodku, alebo odmeňovaný naviac, ak jeho štandardný pracovný pomer trvá.  Know-how predstavuje formu duševného vlastníctva.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Veríme, že by to prispelo k udržaniu zdravia, zlepšeniu vzťahov v rodinách, na pracovisku aj ku kvalite a efektivite výkonu v práci.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Práca v seniorskom veku by mala byť ocenená, nie platená. Mala by byť príležitosťou nie povinnosťou. Je prirodzené, že máme iný prístup k pracovným povinnostiam ak je to povinnosť a iný ak ide o príležitosť pri ktorej sa cítime užitoční.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Pomohlo by to vytvoriť podporné odborné prostredie, znížiť fluktuáciu aj predčasný odchod hlavne nových zamestnancov, ktorí nezvládajú adaptačný proces.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Poberať dôchodok a plný plat nie je správne. Je to príležitosť, ale nie motivácia podávať vyšší výkon. Naopak, môže to byť dôvod neochoty odovzdávať know-how mladším.  Je to brzda v integrácii mladých na pracovný trh.</w:t>
            </w:r>
          </w:p>
        </w:tc>
        <w:tc>
          <w:tcPr>
            <w:tcW w:w="0" w:type="auto"/>
            <w:vAlign w:val="center"/>
          </w:tcPr>
          <w:p w14:paraId="0F0522AC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  <w:tr w:rsidR="004029C7" w14:paraId="087165BA" w14:textId="77777777">
        <w:trPr>
          <w:trHeight w:val="648"/>
          <w:jc w:val="center"/>
        </w:trPr>
        <w:tc>
          <w:tcPr>
            <w:tcW w:w="0" w:type="auto"/>
            <w:vAlign w:val="center"/>
          </w:tcPr>
          <w:p w14:paraId="23F25722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230572E5" w14:textId="77777777" w:rsidR="004029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ZÁSADNÁ PRIPOMIENKA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 materiálu ako celku / k časti Ľudské zdroje v zdravotníctve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Požiadavka: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Navrhujeme rozšíriť a spresniť materiál o systematické opatrenia zamerané na lepšie prepojenie formálnej zdravotnej starostlivosti a neformálnej starostlivosti poskytovanej v domácom prostredí, najmä v kontexte dlhodobej a domácej starostlivosti (LTC,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home-care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Zároveň odporúčame, aby stratégia reflektovala úlohu neformálnych opatrovateľov ako významného stabilizačného prvku systému zdravotnej a sociálnej starostlivosti, a zvážila primerané formy ich podpory v súčinnosti so zdravotnými poisťovňami a sociálnym systémom.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1. Dlhodobá a domáca starostlivosť predstavuje významný nástroj odľahčenia ústavnej zdravotnej starostlivosti. V domácom prostredí je poskytovaná podstatná časť dlhodobej starostlivosti, pričom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neformálni opatrovatelia zohrávajú v tomto procese kľúčovú úlohu. Ich činnosť významne prispieva k: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znižovaniu tlaku na nemocničné a ústavné kapacity,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predlžovaniu zotrvania pacientov v domácom prostredí,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stabilite systému dlhodobej starostlivosti.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2. V praxi sa stretávame so situáciami, keď neformálni opatrovatelia v domácom prostredí zabezpečujú aj úkony súvisiace s ošetrovateľskou starostlivosťou, najmä pri osobách s vysokou mierou odkázanosti. Táto realita poukazuje na potrebu: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lepšieho metodického a odborného prepojenia s formálnym systémom zdravotnej starostlivosti,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jasnejšej koordinácie medzi poskytovateľmi zdravotnej starostlivosti, zdravotnými poisťovňami a rodinnými opatrovateľmi.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3. Časť neformálnych opatrovateľov nie je poberateľmi príspevku na opatrovanie, hoci poskytujú dlhodobú a intenzívnu starostlivosť. Táto skupina predstavuje potenciálne riziko pre udržateľnosť systému, ak by v dôsledku vyčerpania alebo sociálnej neistoty prestala byť schopná starostlivosť zabezpečovať.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4. Neformálni opatrovatelia tvoria významnú skupinu osôb v produktívnom aj vyššom veku, ktoré sú dnes významným „neviditeľným“ zdrojom starostlivosti, no v budúcnosti sa môžu stať používateľmi zdravotných a sociálnych služieb. Preventívna podpora tejto skupiny je preto z dlhodobého hľadiska ekonomicky aj systémovo efektívna.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5. Naša požiadavka je v súlade s európskymi a medzinárodnými rámcami: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Európskym pilierom sociálnych práv (princíp 18),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Dohovorom OSN o právach osôb so zdravotným postihnutím,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cieľmi Plánu obnovy a odolnosti SR (komponenty 11, 12 a 13),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- odporúčaniami Medzinárodnej organizácie práce (ILO) v oblasti udržateľnosti systému starostlivosti a pracovných síl v sektore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tomto kontexte navrhujeme, aby stratégia vytvorila rámec pre: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podporu spolupráce medzi zdravotnými poisťovňami, poskytovateľmi zdravotnej starostlivosti a neformálnymi opatrovateľmi,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rozvoj dostupných ambulantných a terénnych služieb, predovšetkým ADOS a mobilných hospicov, fyzioterapie, tiež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teleošetrovateľstva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</w:tc>
        <w:tc>
          <w:tcPr>
            <w:tcW w:w="0" w:type="auto"/>
            <w:vAlign w:val="center"/>
          </w:tcPr>
          <w:p w14:paraId="23156FDE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áno</w:t>
            </w:r>
          </w:p>
        </w:tc>
      </w:tr>
    </w:tbl>
    <w:p w14:paraId="01584E64" w14:textId="77777777" w:rsidR="00DB2917" w:rsidRDefault="00DB29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4002F" w14:textId="77777777" w:rsidR="00E66622" w:rsidRPr="000B2D78" w:rsidRDefault="00E66622" w:rsidP="00B325C1">
      <w:pPr>
        <w:keepLines/>
        <w:rPr>
          <w:rFonts w:ascii="Times New Roman" w:hAnsi="Times New Roman" w:cs="Times New Roman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Vznesené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hromadn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 pripomienky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0598"/>
        <w:gridCol w:w="1190"/>
      </w:tblGrid>
      <w:tr w:rsidR="00053B53" w14:paraId="608C5EEB" w14:textId="77777777" w:rsidTr="00E57D51">
        <w:trPr>
          <w:trHeight w:val="648"/>
          <w:jc w:val="center"/>
        </w:trPr>
        <w:tc>
          <w:tcPr>
            <w:tcW w:w="250" w:type="pct"/>
            <w:vAlign w:val="center"/>
          </w:tcPr>
          <w:p w14:paraId="0147EB36" w14:textId="77777777" w:rsidR="00053B53" w:rsidRPr="00E11D16" w:rsidRDefault="00053B53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</w:t>
            </w:r>
            <w:proofErr w:type="spellEnd"/>
            <w:r w:rsidRPr="000A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vatelia</w:t>
            </w:r>
            <w:proofErr w:type="spellEnd"/>
          </w:p>
        </w:tc>
        <w:tc>
          <w:tcPr>
            <w:tcW w:w="2274" w:type="pct"/>
            <w:vAlign w:val="center"/>
          </w:tcPr>
          <w:p w14:paraId="3F173751" w14:textId="77777777" w:rsidR="00053B53" w:rsidRPr="00E11D16" w:rsidRDefault="00053B53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250" w:type="pct"/>
            <w:vAlign w:val="center"/>
          </w:tcPr>
          <w:p w14:paraId="78B20590" w14:textId="77777777" w:rsidR="00053B53" w:rsidRPr="00E11D16" w:rsidRDefault="00053B53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Odoslaná</w:t>
            </w:r>
          </w:p>
        </w:tc>
      </w:tr>
      <w:tr w:rsidR="00CB41DE" w14:paraId="7E4D9331" w14:textId="77777777" w:rsidTr="00CB41DE">
        <w:trPr>
          <w:trHeight w:val="648"/>
          <w:jc w:val="center"/>
        </w:trPr>
        <w:tc>
          <w:tcPr>
            <w:tcW w:w="0" w:type="auto"/>
            <w:gridSpan w:val="3"/>
            <w:vAlign w:val="center"/>
          </w:tcPr>
          <w:p w14:paraId="04225616" w14:textId="77777777" w:rsidR="004029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 materiálu neboli pridané hromadné pripomienky.</w:t>
            </w:r>
          </w:p>
        </w:tc>
      </w:tr>
    </w:tbl>
    <w:p w14:paraId="0114B7D0" w14:textId="77777777" w:rsidR="00E66622" w:rsidRPr="00E66622" w:rsidRDefault="00E66622">
      <w:pPr>
        <w:rPr>
          <w:rFonts w:ascii="Times New Roman" w:hAnsi="Times New Roman" w:cs="Times New Roman"/>
        </w:rPr>
      </w:pPr>
    </w:p>
    <w:sectPr w:rsidR="00E66622" w:rsidRPr="00E66622" w:rsidSect="00E32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206C" w14:textId="77777777" w:rsidR="00127C9F" w:rsidRPr="00E66622" w:rsidRDefault="00127C9F" w:rsidP="00E66622">
      <w:pPr>
        <w:spacing w:after="0" w:line="240" w:lineRule="auto"/>
      </w:pPr>
      <w:r w:rsidRPr="00E66622">
        <w:separator/>
      </w:r>
    </w:p>
  </w:endnote>
  <w:endnote w:type="continuationSeparator" w:id="0">
    <w:p w14:paraId="0E7AC900" w14:textId="77777777" w:rsidR="00127C9F" w:rsidRPr="00E66622" w:rsidRDefault="00127C9F" w:rsidP="00E66622">
      <w:pPr>
        <w:spacing w:after="0" w:line="240" w:lineRule="auto"/>
      </w:pPr>
      <w:r w:rsidRPr="00E66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A302" w14:textId="77777777" w:rsidR="00E327C3" w:rsidRDefault="00E327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05146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F95B6A8" w14:textId="77777777" w:rsidR="00E66622" w:rsidRPr="00A02DB7" w:rsidRDefault="00E66622">
        <w:pPr>
          <w:pStyle w:val="Pta"/>
          <w:jc w:val="center"/>
          <w:rPr>
            <w:rFonts w:ascii="Times New Roman" w:hAnsi="Times New Roman"/>
          </w:rPr>
        </w:pPr>
        <w:r w:rsidRPr="00A02DB7">
          <w:rPr>
            <w:rFonts w:ascii="Times New Roman" w:hAnsi="Times New Roman"/>
          </w:rPr>
          <w:fldChar w:fldCharType="begin"/>
        </w:r>
        <w:r w:rsidRPr="00A02DB7">
          <w:rPr>
            <w:rFonts w:ascii="Times New Roman" w:hAnsi="Times New Roman"/>
          </w:rPr>
          <w:instrText xml:space="preserve"> PAGE   \* MERGEFORMAT </w:instrText>
        </w:r>
        <w:r w:rsidRPr="00A02DB7">
          <w:rPr>
            <w:rFonts w:ascii="Times New Roman" w:hAnsi="Times New Roman"/>
          </w:rPr>
          <w:fldChar w:fldCharType="separate"/>
        </w:r>
        <w:r w:rsidRPr="00A02DB7">
          <w:rPr>
            <w:rFonts w:ascii="Times New Roman" w:hAnsi="Times New Roman"/>
            <w:noProof/>
          </w:rPr>
          <w:t>2</w:t>
        </w:r>
        <w:r w:rsidRPr="00A02DB7">
          <w:rPr>
            <w:rFonts w:ascii="Times New Roman" w:hAnsi="Times New Roman"/>
            <w:noProof/>
          </w:rPr>
          <w:fldChar w:fldCharType="end"/>
        </w:r>
      </w:p>
    </w:sdtContent>
  </w:sdt>
  <w:p w14:paraId="6D8D2DEF" w14:textId="77777777" w:rsidR="00E66622" w:rsidRDefault="00E666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574B" w14:textId="77777777" w:rsidR="00E327C3" w:rsidRDefault="00E327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7FD7" w14:textId="77777777" w:rsidR="00127C9F" w:rsidRPr="00E66622" w:rsidRDefault="00127C9F" w:rsidP="00E66622">
      <w:pPr>
        <w:spacing w:after="0" w:line="240" w:lineRule="auto"/>
      </w:pPr>
      <w:r w:rsidRPr="00E66622">
        <w:separator/>
      </w:r>
    </w:p>
  </w:footnote>
  <w:footnote w:type="continuationSeparator" w:id="0">
    <w:p w14:paraId="3C7F1AB2" w14:textId="77777777" w:rsidR="00127C9F" w:rsidRPr="00E66622" w:rsidRDefault="00127C9F" w:rsidP="00E66622">
      <w:pPr>
        <w:spacing w:after="0" w:line="240" w:lineRule="auto"/>
      </w:pPr>
      <w:r w:rsidRPr="00E666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0F61" w14:textId="77777777" w:rsidR="00E327C3" w:rsidRDefault="00E327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666C" w14:textId="77777777" w:rsidR="00E327C3" w:rsidRDefault="00E327C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2FD0" w14:textId="77777777" w:rsidR="00E327C3" w:rsidRDefault="00E327C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47E84"/>
    <w:rsid w:val="00050137"/>
    <w:rsid w:val="00053B53"/>
    <w:rsid w:val="00076DCD"/>
    <w:rsid w:val="00096A09"/>
    <w:rsid w:val="000A158B"/>
    <w:rsid w:val="000B2D78"/>
    <w:rsid w:val="000C172E"/>
    <w:rsid w:val="000D3CA3"/>
    <w:rsid w:val="000E3B8C"/>
    <w:rsid w:val="001228AD"/>
    <w:rsid w:val="00127C9F"/>
    <w:rsid w:val="00131490"/>
    <w:rsid w:val="00131742"/>
    <w:rsid w:val="001433FA"/>
    <w:rsid w:val="00146A7D"/>
    <w:rsid w:val="001D4771"/>
    <w:rsid w:val="001E50FA"/>
    <w:rsid w:val="001E5996"/>
    <w:rsid w:val="001F777F"/>
    <w:rsid w:val="00231554"/>
    <w:rsid w:val="00237490"/>
    <w:rsid w:val="00245F36"/>
    <w:rsid w:val="0026614F"/>
    <w:rsid w:val="002715E0"/>
    <w:rsid w:val="0029170C"/>
    <w:rsid w:val="00295E6A"/>
    <w:rsid w:val="002A4482"/>
    <w:rsid w:val="002C0EB1"/>
    <w:rsid w:val="002C684B"/>
    <w:rsid w:val="002D3B5E"/>
    <w:rsid w:val="002D4B4A"/>
    <w:rsid w:val="002E3CEC"/>
    <w:rsid w:val="002F5089"/>
    <w:rsid w:val="00312884"/>
    <w:rsid w:val="00335FFB"/>
    <w:rsid w:val="003A5C5F"/>
    <w:rsid w:val="003C31D4"/>
    <w:rsid w:val="003E641E"/>
    <w:rsid w:val="003F1216"/>
    <w:rsid w:val="003F37C1"/>
    <w:rsid w:val="004029A2"/>
    <w:rsid w:val="004029C7"/>
    <w:rsid w:val="004050CF"/>
    <w:rsid w:val="00405348"/>
    <w:rsid w:val="00434080"/>
    <w:rsid w:val="00461AE1"/>
    <w:rsid w:val="004A62B8"/>
    <w:rsid w:val="004B4188"/>
    <w:rsid w:val="004C4683"/>
    <w:rsid w:val="004E0BF7"/>
    <w:rsid w:val="004F4092"/>
    <w:rsid w:val="00513767"/>
    <w:rsid w:val="005146CA"/>
    <w:rsid w:val="0053699B"/>
    <w:rsid w:val="00543901"/>
    <w:rsid w:val="00583F11"/>
    <w:rsid w:val="005A15A7"/>
    <w:rsid w:val="005B618C"/>
    <w:rsid w:val="005E5B0E"/>
    <w:rsid w:val="005F3E6F"/>
    <w:rsid w:val="00602231"/>
    <w:rsid w:val="006358CA"/>
    <w:rsid w:val="006371D1"/>
    <w:rsid w:val="00641DD8"/>
    <w:rsid w:val="00664F3B"/>
    <w:rsid w:val="00695857"/>
    <w:rsid w:val="006C2D6E"/>
    <w:rsid w:val="0070694E"/>
    <w:rsid w:val="00707B3A"/>
    <w:rsid w:val="00774ED8"/>
    <w:rsid w:val="00784062"/>
    <w:rsid w:val="007C1A93"/>
    <w:rsid w:val="007F482B"/>
    <w:rsid w:val="00805BCF"/>
    <w:rsid w:val="00847145"/>
    <w:rsid w:val="008741FE"/>
    <w:rsid w:val="00887B34"/>
    <w:rsid w:val="008C2612"/>
    <w:rsid w:val="008D299D"/>
    <w:rsid w:val="00913D14"/>
    <w:rsid w:val="00917A99"/>
    <w:rsid w:val="00932936"/>
    <w:rsid w:val="00947810"/>
    <w:rsid w:val="009647D6"/>
    <w:rsid w:val="00980D7A"/>
    <w:rsid w:val="00984DBA"/>
    <w:rsid w:val="009912BF"/>
    <w:rsid w:val="009B1491"/>
    <w:rsid w:val="009D152C"/>
    <w:rsid w:val="009D32B4"/>
    <w:rsid w:val="009E0711"/>
    <w:rsid w:val="009F35D2"/>
    <w:rsid w:val="00A02DB7"/>
    <w:rsid w:val="00A070EB"/>
    <w:rsid w:val="00A27F0A"/>
    <w:rsid w:val="00A36692"/>
    <w:rsid w:val="00A81039"/>
    <w:rsid w:val="00AA7286"/>
    <w:rsid w:val="00AD0FB4"/>
    <w:rsid w:val="00B02EF2"/>
    <w:rsid w:val="00B0310C"/>
    <w:rsid w:val="00B11932"/>
    <w:rsid w:val="00B13231"/>
    <w:rsid w:val="00B13C0C"/>
    <w:rsid w:val="00B325C1"/>
    <w:rsid w:val="00B8742A"/>
    <w:rsid w:val="00B946A0"/>
    <w:rsid w:val="00BB3CF4"/>
    <w:rsid w:val="00BC339E"/>
    <w:rsid w:val="00BC7790"/>
    <w:rsid w:val="00BD7F55"/>
    <w:rsid w:val="00BE323C"/>
    <w:rsid w:val="00BF207A"/>
    <w:rsid w:val="00C06F1F"/>
    <w:rsid w:val="00C21BF9"/>
    <w:rsid w:val="00C34659"/>
    <w:rsid w:val="00C43D79"/>
    <w:rsid w:val="00C529CC"/>
    <w:rsid w:val="00C84A5B"/>
    <w:rsid w:val="00C904D1"/>
    <w:rsid w:val="00CB41DE"/>
    <w:rsid w:val="00CB600D"/>
    <w:rsid w:val="00CB727A"/>
    <w:rsid w:val="00CC742E"/>
    <w:rsid w:val="00CD5259"/>
    <w:rsid w:val="00CD7313"/>
    <w:rsid w:val="00CF1D5F"/>
    <w:rsid w:val="00D0302E"/>
    <w:rsid w:val="00D2596D"/>
    <w:rsid w:val="00D44E47"/>
    <w:rsid w:val="00D466F6"/>
    <w:rsid w:val="00D610D0"/>
    <w:rsid w:val="00D91683"/>
    <w:rsid w:val="00DA267A"/>
    <w:rsid w:val="00DB2917"/>
    <w:rsid w:val="00DD2850"/>
    <w:rsid w:val="00DD302E"/>
    <w:rsid w:val="00DD7CB5"/>
    <w:rsid w:val="00DE3445"/>
    <w:rsid w:val="00DE6C5F"/>
    <w:rsid w:val="00DF139C"/>
    <w:rsid w:val="00E07639"/>
    <w:rsid w:val="00E078E8"/>
    <w:rsid w:val="00E113C2"/>
    <w:rsid w:val="00E11D16"/>
    <w:rsid w:val="00E327C3"/>
    <w:rsid w:val="00E37A37"/>
    <w:rsid w:val="00E41A2D"/>
    <w:rsid w:val="00E57D51"/>
    <w:rsid w:val="00E62E01"/>
    <w:rsid w:val="00E66622"/>
    <w:rsid w:val="00E92A50"/>
    <w:rsid w:val="00EA1893"/>
    <w:rsid w:val="00EA3B3C"/>
    <w:rsid w:val="00EE00C6"/>
    <w:rsid w:val="00EE3DCD"/>
    <w:rsid w:val="00F0653F"/>
    <w:rsid w:val="00F17D8C"/>
    <w:rsid w:val="00F456DC"/>
    <w:rsid w:val="00F648C9"/>
    <w:rsid w:val="00F66A1B"/>
    <w:rsid w:val="00F8431B"/>
    <w:rsid w:val="00F85AB8"/>
    <w:rsid w:val="00F907A2"/>
    <w:rsid w:val="00FA016F"/>
    <w:rsid w:val="00FA40AE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7A5D"/>
  <w15:docId w15:val="{800A4F65-FABE-47DB-AF8A-6E31DFC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D16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6622"/>
  </w:style>
  <w:style w:type="paragraph" w:styleId="Pta">
    <w:name w:val="footer"/>
    <w:basedOn w:val="Normlny"/>
    <w:link w:val="Pt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6622"/>
  </w:style>
  <w:style w:type="character" w:styleId="Odkaznakomentr">
    <w:name w:val="annotation reference"/>
    <w:basedOn w:val="Predvolenpsmoodseku"/>
    <w:uiPriority w:val="99"/>
    <w:semiHidden/>
    <w:unhideWhenUsed/>
    <w:rsid w:val="00CD52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2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525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2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5259"/>
    <w:rPr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3005</Words>
  <Characters>19117</Characters>
  <Application>Microsoft Office Word</Application>
  <DocSecurity>0</DocSecurity>
  <Lines>455</Lines>
  <Paragraphs>248</Paragraphs>
  <ScaleCrop>false</ScaleCrop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Iveta Ždiľová KOS</cp:lastModifiedBy>
  <cp:revision>2</cp:revision>
  <dcterms:created xsi:type="dcterms:W3CDTF">2025-12-14T21:10:00Z</dcterms:created>
  <dcterms:modified xsi:type="dcterms:W3CDTF">2025-12-14T21:10:00Z</dcterms:modified>
</cp:coreProperties>
</file>